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BD292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3065C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EC325D" w:rsidRDefault="0092148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921481">
        <w:rPr>
          <w:noProof/>
          <w:u w:val="single"/>
        </w:rPr>
        <w:drawing>
          <wp:inline distT="0" distB="0" distL="0" distR="0">
            <wp:extent cx="3295650" cy="2800350"/>
            <wp:effectExtent l="0" t="0" r="0" b="0"/>
            <wp:docPr id="100" name="Object 9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81800"/>
                      <a:chOff x="381000" y="0"/>
                      <a:chExt cx="8229600" cy="678180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Executive Branch (middle)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3449638" y="1219200"/>
                        <a:ext cx="182880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/>
                            <a:t>      sovereign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2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3379788" y="2303463"/>
                        <a:ext cx="1981200" cy="97313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/>
                            <a:t>Governor General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3543300" y="3505200"/>
                        <a:ext cx="1655763" cy="103505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/>
                            <a:t>Prime </a:t>
                          </a:r>
                        </a:p>
                        <a:p>
                          <a:pPr algn="ctr"/>
                          <a:r>
                            <a:rPr lang="en-CA"/>
                            <a:t>Minister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1898650" y="4706938"/>
                        <a:ext cx="1447800" cy="949325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/>
                            <a:t>PM’s</a:t>
                          </a:r>
                        </a:p>
                        <a:p>
                          <a:pPr algn="ctr"/>
                          <a:r>
                            <a:rPr lang="en-CA"/>
                            <a:t>office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5" name="Oval 7"/>
                      <a:cNvSpPr>
                        <a:spLocks noChangeArrowheads="1"/>
                      </a:cNvSpPr>
                    </a:nvSpPr>
                    <a:spPr bwMode="auto">
                      <a:xfrm>
                        <a:off x="3670300" y="4724400"/>
                        <a:ext cx="141605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/>
                            <a:t>cabinet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6" name="Oval 8"/>
                      <a:cNvSpPr>
                        <a:spLocks noChangeArrowheads="1"/>
                      </a:cNvSpPr>
                    </a:nvSpPr>
                    <a:spPr bwMode="auto">
                      <a:xfrm>
                        <a:off x="5360988" y="4648200"/>
                        <a:ext cx="1573212" cy="1066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/>
                            <a:t>Privy Council Office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7" name="Oval 9"/>
                      <a:cNvSpPr>
                        <a:spLocks noChangeArrowheads="1"/>
                      </a:cNvSpPr>
                    </a:nvSpPr>
                    <a:spPr bwMode="auto">
                      <a:xfrm>
                        <a:off x="3179763" y="5867400"/>
                        <a:ext cx="236855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/>
                            <a:t>Ministries and</a:t>
                          </a:r>
                        </a:p>
                        <a:p>
                          <a:pPr algn="ctr"/>
                          <a:r>
                            <a:rPr lang="en-CA"/>
                            <a:t>Civil Service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8" name="Down Arrow 10"/>
                      <a:cNvSpPr>
                        <a:spLocks noChangeArrowheads="1"/>
                      </a:cNvSpPr>
                    </a:nvSpPr>
                    <a:spPr bwMode="auto">
                      <a:xfrm>
                        <a:off x="4129088" y="2133600"/>
                        <a:ext cx="484187" cy="260350"/>
                      </a:xfrm>
                      <a:prstGeom prst="down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2059" name="Down Arrow 11"/>
                      <a:cNvSpPr>
                        <a:spLocks noChangeArrowheads="1"/>
                      </a:cNvSpPr>
                    </a:nvSpPr>
                    <a:spPr bwMode="auto">
                      <a:xfrm>
                        <a:off x="4121150" y="3276600"/>
                        <a:ext cx="485775" cy="228600"/>
                      </a:xfrm>
                      <a:prstGeom prst="down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2060" name="Down Arrow 12"/>
                      <a:cNvSpPr>
                        <a:spLocks noChangeArrowheads="1"/>
                      </a:cNvSpPr>
                    </a:nvSpPr>
                    <a:spPr bwMode="auto">
                      <a:xfrm>
                        <a:off x="4129088" y="4540250"/>
                        <a:ext cx="484187" cy="336550"/>
                      </a:xfrm>
                      <a:prstGeom prst="down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2061" name="Right Arrow 13"/>
                      <a:cNvSpPr>
                        <a:spLocks noChangeArrowheads="1"/>
                      </a:cNvSpPr>
                    </a:nvSpPr>
                    <a:spPr bwMode="auto">
                      <a:xfrm>
                        <a:off x="5075238" y="4876800"/>
                        <a:ext cx="285750" cy="484188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2062" name="Left Arrow 14"/>
                      <a:cNvSpPr>
                        <a:spLocks noChangeArrowheads="1"/>
                      </a:cNvSpPr>
                    </a:nvSpPr>
                    <a:spPr bwMode="auto">
                      <a:xfrm>
                        <a:off x="3346450" y="4862513"/>
                        <a:ext cx="293688" cy="484187"/>
                      </a:xfrm>
                      <a:prstGeom prst="left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2063" name="Down Arrow 15"/>
                      <a:cNvSpPr>
                        <a:spLocks noChangeArrowheads="1"/>
                      </a:cNvSpPr>
                    </a:nvSpPr>
                    <a:spPr bwMode="auto">
                      <a:xfrm>
                        <a:off x="4129088" y="5614988"/>
                        <a:ext cx="484187" cy="252412"/>
                      </a:xfrm>
                      <a:prstGeom prst="down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21481" w:rsidRDefault="00BD292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919720D">
            <wp:extent cx="3724275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92" cy="304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481" w:rsidRDefault="0092148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Pr="00D673F5" w:rsidRDefault="003065CE" w:rsidP="003065C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3065CE" w:rsidRPr="00D673F5">
        <w:rPr>
          <w:u w:val="single"/>
        </w:rPr>
        <w:t>________________</w:t>
      </w:r>
      <w:r w:rsidR="003065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400425" cy="276225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97563"/>
                      <a:chOff x="457200" y="228600"/>
                      <a:chExt cx="8229600" cy="5897563"/>
                    </a:xfrm>
                  </a:grpSpPr>
                  <a:sp>
                    <a:nvSpPr>
                      <a:cNvPr id="20484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286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64A2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5400" dirty="0" smtClean="0">
                              <a:latin typeface="Sylfaen" pitchFamily="18" charset="0"/>
                            </a:rPr>
                            <a:t>      Governor General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9" name="Rectangle 5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solidFill>
                                <a:srgbClr val="DFDEF6"/>
                              </a:solidFill>
                              <a:latin typeface="Sylfaen" pitchFamily="18" charset="0"/>
                            </a:rPr>
                            <a:t> </a:t>
                          </a:r>
                          <a:r>
                            <a:rPr lang="en-US" b="1" smtClean="0">
                              <a:latin typeface="Sylfaen" pitchFamily="18" charset="0"/>
                            </a:rPr>
                            <a:t>Has mostly symbolic duties such as receiving new ambassadors and awarding the Order of Canada to people who have made outstanding contributions to public life. </a:t>
                          </a:r>
                        </a:p>
                        <a:p>
                          <a:pP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Does have the power to decline to sign a bill into a law or prorogue Parliament.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95700" cy="265747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4830762"/>
                      <a:chOff x="457200" y="274638"/>
                      <a:chExt cx="8305800" cy="4830762"/>
                    </a:xfrm>
                  </a:grpSpPr>
                  <a:sp>
                    <a:nvSpPr>
                      <a:cNvPr id="2457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7200" dirty="0" smtClean="0">
                              <a:latin typeface="Sylfaen" pitchFamily="18" charset="0"/>
                            </a:rPr>
                            <a:t>The Prime Minister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80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838200" y="1524000"/>
                        <a:ext cx="7924800" cy="3581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latin typeface="Sylfaen" pitchFamily="18" charset="0"/>
                            </a:rPr>
                            <a:t>Central Figure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latin typeface="Sylfaen" pitchFamily="18" charset="0"/>
                            </a:rPr>
                            <a:t>Powers are enormous but not outlined in any document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latin typeface="Sylfaen" pitchFamily="18" charset="0"/>
                            </a:rPr>
                            <a:t>Those powers include: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latin typeface="Sylfaen" pitchFamily="18" charset="0"/>
                            </a:rPr>
                            <a:t>	a.) party leadership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latin typeface="Sylfaen" pitchFamily="18" charset="0"/>
                            </a:rPr>
                            <a:t>	b.) appointment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latin typeface="Sylfaen" pitchFamily="18" charset="0"/>
                            </a:rPr>
                            <a:t>	c.) governmental                   	organization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latin typeface="Sylfaen" pitchFamily="18" charset="0"/>
                            </a:rPr>
                            <a:t>	d.) dissolution of the House of Commons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5394" w:rsidRDefault="0076539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75E10" w:rsidRDefault="00B75E1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75E10" w:rsidRDefault="00B75E1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Pr="00D673F5" w:rsidRDefault="003065CE" w:rsidP="003065C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3065CE" w:rsidRPr="00D673F5">
        <w:rPr>
          <w:u w:val="single"/>
        </w:rPr>
        <w:t>________________</w:t>
      </w:r>
      <w:r w:rsidR="003065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0910A5C">
            <wp:extent cx="352425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39" cy="274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581400" cy="3000375"/>
            <wp:effectExtent l="0" t="0" r="0" b="0"/>
            <wp:docPr id="7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19800"/>
                      <a:chOff x="0" y="0"/>
                      <a:chExt cx="8229600" cy="6019800"/>
                    </a:xfrm>
                  </a:grpSpPr>
                  <a:sp>
                    <a:nvSpPr>
                      <a:cNvPr id="71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5400" smtClean="0">
                              <a:latin typeface="Sylfaen" pitchFamily="18" charset="0"/>
                            </a:rPr>
                            <a:t>b.) Power of appointment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6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990600"/>
                        <a:ext cx="8229600" cy="502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The P.M. appoints  the Governor General</a:t>
                          </a:r>
                        </a:p>
                        <a:p>
                          <a:pP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Appoints cabinet members through Governor General</a:t>
                          </a:r>
                        </a:p>
                        <a:p>
                          <a:pP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The P.M. decides the size of the cabinet</a:t>
                          </a:r>
                        </a:p>
                        <a:p>
                          <a:pP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Each province is supposed to be represented in cabinet</a:t>
                          </a:r>
                        </a:p>
                        <a:p>
                          <a:pPr>
                            <a:buFont typeface="Wingdings" pitchFamily="2" charset="2"/>
                            <a:buChar char="v"/>
                          </a:pPr>
                          <a:r>
                            <a:rPr lang="en-US" b="1" smtClean="0">
                              <a:latin typeface="Sylfaen" pitchFamily="18" charset="0"/>
                            </a:rPr>
                            <a:t>All races, genders, minority groups etc. are meant to be represented, obviously that poses some challenges.</a:t>
                          </a:r>
                        </a:p>
                        <a:p>
                          <a:pPr>
                            <a:buFont typeface="Wingdings" pitchFamily="2" charset="2"/>
                            <a:buChar char="v"/>
                          </a:pPr>
                          <a:endParaRPr lang="en-US" b="1" smtClean="0">
                            <a:solidFill>
                              <a:srgbClr val="DFDEF6"/>
                            </a:solidFill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C0DA0" w:rsidRDefault="00EC0DA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C0DA0" w:rsidRDefault="00EC0DA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74EF3" w:rsidRDefault="00D74EF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Pr="00D673F5" w:rsidRDefault="003065CE" w:rsidP="003065C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3065CE" w:rsidRPr="00D673F5">
        <w:rPr>
          <w:u w:val="single"/>
        </w:rPr>
        <w:t>________________</w:t>
      </w:r>
      <w:r w:rsidR="003065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18F57D6">
            <wp:extent cx="3457575" cy="25933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5" cy="259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09975" cy="3381375"/>
            <wp:effectExtent l="0" t="0" r="0" b="0"/>
            <wp:docPr id="11" name="Objec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05600"/>
                      <a:chOff x="457200" y="152400"/>
                      <a:chExt cx="8229600" cy="6705600"/>
                    </a:xfrm>
                  </a:grpSpPr>
                  <a:sp>
                    <a:nvSpPr>
                      <a:cNvPr id="921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524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6000" dirty="0" smtClean="0">
                              <a:latin typeface="Sylfaen" pitchFamily="18" charset="0"/>
                            </a:rPr>
                            <a:t>d.) Power of dissolution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7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066800"/>
                        <a:ext cx="8229600" cy="579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3600" dirty="0" smtClean="0">
                              <a:latin typeface="Sylfaen" pitchFamily="18" charset="0"/>
                            </a:rPr>
                            <a:t>The PM is able to set the time of election to their liking, within their five year term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3600" dirty="0" smtClean="0">
                              <a:latin typeface="Sylfaen" pitchFamily="18" charset="0"/>
                            </a:rPr>
                            <a:t> government can be dissolved before they set an election date if they are a minority government and they are defeated in a vote of non-confidence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3600" dirty="0" smtClean="0">
                              <a:latin typeface="Sylfaen" pitchFamily="18" charset="0"/>
                            </a:rPr>
                            <a:t> </a:t>
                          </a:r>
                          <a:r>
                            <a:rPr lang="en-US" sz="3600" dirty="0">
                              <a:latin typeface="Sylfaen" pitchFamily="18" charset="0"/>
                            </a:rPr>
                            <a:t>T</a:t>
                          </a:r>
                          <a:r>
                            <a:rPr lang="en-US" sz="3600" dirty="0" smtClean="0">
                              <a:latin typeface="Sylfaen" pitchFamily="18" charset="0"/>
                            </a:rPr>
                            <a:t>he government serves a maximum five year term, before calling an election 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None/>
                            <a:defRPr/>
                          </a:pPr>
                          <a:endParaRPr lang="en-US" dirty="0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1007" w:rsidRDefault="00D4100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41007" w:rsidRDefault="00D4100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D2927" w:rsidRDefault="00BD292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Pr="00D673F5" w:rsidRDefault="003065CE" w:rsidP="003065C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3065CE" w:rsidRPr="00D673F5">
        <w:rPr>
          <w:u w:val="single"/>
        </w:rPr>
        <w:t>________________</w:t>
      </w:r>
      <w:r w:rsidR="003065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750D8D9">
            <wp:extent cx="3314700" cy="2819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60" cy="2819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169B3A8">
            <wp:extent cx="3381375" cy="2867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45" cy="286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457" w:rsidRDefault="00E4645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46457" w:rsidRDefault="00E4645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406C3" w:rsidRDefault="00D406C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Pr="00D673F5" w:rsidRDefault="003065CE" w:rsidP="003065C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3065CE" w:rsidRPr="00D673F5">
        <w:rPr>
          <w:u w:val="single"/>
        </w:rPr>
        <w:t>________________</w:t>
      </w:r>
      <w:r w:rsidR="003065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2B6869F">
            <wp:extent cx="3343275" cy="25075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39" cy="2507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86175" cy="3114675"/>
            <wp:effectExtent l="0" t="0" r="0" b="0"/>
            <wp:docPr id="19" name="Objec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331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6600" smtClean="0">
                              <a:latin typeface="Sylfaen" pitchFamily="18" charset="0"/>
                            </a:rPr>
                            <a:t>Cabinet Continued…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1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A key agency linked with the Cabinet is the treasury board (cabinet committee)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Purpose is to monitor budgets of the government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Another group associated with the 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US" b="1" dirty="0" smtClean="0">
                              <a:latin typeface="Sylfaen" pitchFamily="18" charset="0"/>
                            </a:rPr>
                            <a:t>Cabinet is the “Shadow Cabinet.” The Official Opposition appoints one of their MP’s to “shadow” each of the Cabinet Ministers responsible for a portfolio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endParaRPr lang="en-US" b="1" dirty="0" smtClean="0">
                            <a:latin typeface="Sylfaen" pitchFamily="18" charset="0"/>
                          </a:endParaRP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 typeface="Wingdings" pitchFamily="2" charset="2"/>
                            <a:buNone/>
                            <a:defRPr/>
                          </a:pPr>
                          <a:endParaRPr lang="en-US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06C3" w:rsidRDefault="00D406C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4112F" w:rsidRDefault="0044112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4112F" w:rsidRDefault="0044112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Pr="00D673F5" w:rsidRDefault="003065CE" w:rsidP="003065C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3065CE" w:rsidRPr="00D673F5">
        <w:rPr>
          <w:u w:val="single"/>
        </w:rPr>
        <w:t>________________</w:t>
      </w:r>
      <w:r w:rsidR="003065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697A211">
            <wp:extent cx="3581446" cy="26862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43" cy="268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F53FED4">
            <wp:extent cx="3524250" cy="2847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39" cy="284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9C9" w:rsidRDefault="002D59C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D59C9" w:rsidRDefault="002D59C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F0194" w:rsidRDefault="001F019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Pr="00D673F5" w:rsidRDefault="003065CE" w:rsidP="003065C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7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2.05pt;width:74.25pt;height:0;flip:x;z-index:251787264" o:connectortype="straight"/>
        </w:pict>
      </w:r>
      <w:r w:rsidR="003065CE" w:rsidRPr="00D673F5">
        <w:rPr>
          <w:u w:val="single"/>
        </w:rPr>
        <w:t>________________</w:t>
      </w:r>
      <w:r w:rsidR="003065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065CE" w:rsidRDefault="003065CE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065CE" w:rsidRDefault="00BD2927" w:rsidP="003065C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684AF9F">
            <wp:extent cx="3724275" cy="27933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49" cy="279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300" w:rsidRDefault="004F130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bookmarkEnd w:id="0"/>
    </w:p>
    <w:p w:rsidR="00AD0EAA" w:rsidRPr="00D673F5" w:rsidRDefault="00AD0EAA" w:rsidP="003065CE">
      <w:pPr>
        <w:tabs>
          <w:tab w:val="left" w:pos="3870"/>
        </w:tabs>
        <w:spacing w:line="480" w:lineRule="auto"/>
        <w:ind w:right="540"/>
        <w:rPr>
          <w:u w:val="single"/>
        </w:rPr>
      </w:pPr>
    </w:p>
    <w:sectPr w:rsidR="00AD0EAA" w:rsidRPr="00D673F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A06AD"/>
    <w:rsid w:val="000A0EB5"/>
    <w:rsid w:val="000A22DD"/>
    <w:rsid w:val="000B2AE0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0194"/>
    <w:rsid w:val="001F1976"/>
    <w:rsid w:val="001F1A57"/>
    <w:rsid w:val="001F5866"/>
    <w:rsid w:val="00205742"/>
    <w:rsid w:val="002127D9"/>
    <w:rsid w:val="00215E31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A3A7A"/>
    <w:rsid w:val="002A6298"/>
    <w:rsid w:val="002C0960"/>
    <w:rsid w:val="002C3B95"/>
    <w:rsid w:val="002D59C9"/>
    <w:rsid w:val="002D6457"/>
    <w:rsid w:val="002F69A2"/>
    <w:rsid w:val="002F76A7"/>
    <w:rsid w:val="00300A35"/>
    <w:rsid w:val="00300D0B"/>
    <w:rsid w:val="00301B8D"/>
    <w:rsid w:val="003059AF"/>
    <w:rsid w:val="003065CE"/>
    <w:rsid w:val="00307BF0"/>
    <w:rsid w:val="00311A6C"/>
    <w:rsid w:val="00316D2B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3C0A"/>
    <w:rsid w:val="00416BB1"/>
    <w:rsid w:val="00424D24"/>
    <w:rsid w:val="00425AA2"/>
    <w:rsid w:val="0042627B"/>
    <w:rsid w:val="00431881"/>
    <w:rsid w:val="0044112F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4F1300"/>
    <w:rsid w:val="005158DD"/>
    <w:rsid w:val="00521FF7"/>
    <w:rsid w:val="00523D01"/>
    <w:rsid w:val="005335B4"/>
    <w:rsid w:val="00535642"/>
    <w:rsid w:val="005376A7"/>
    <w:rsid w:val="0054101A"/>
    <w:rsid w:val="005410DF"/>
    <w:rsid w:val="005420A5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13EDD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10AB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394"/>
    <w:rsid w:val="00765C8E"/>
    <w:rsid w:val="00773A09"/>
    <w:rsid w:val="0077762A"/>
    <w:rsid w:val="007811C1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6DF7"/>
    <w:rsid w:val="007F1883"/>
    <w:rsid w:val="007F2615"/>
    <w:rsid w:val="007F5EFB"/>
    <w:rsid w:val="00801756"/>
    <w:rsid w:val="00801C32"/>
    <w:rsid w:val="0080490C"/>
    <w:rsid w:val="00806FD3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1DCA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1481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5E10"/>
    <w:rsid w:val="00B77BC6"/>
    <w:rsid w:val="00B821EE"/>
    <w:rsid w:val="00B931FE"/>
    <w:rsid w:val="00BA434F"/>
    <w:rsid w:val="00BA4951"/>
    <w:rsid w:val="00BA5AF4"/>
    <w:rsid w:val="00BA6856"/>
    <w:rsid w:val="00BB679A"/>
    <w:rsid w:val="00BC24FD"/>
    <w:rsid w:val="00BC305B"/>
    <w:rsid w:val="00BD23E4"/>
    <w:rsid w:val="00BD2927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06C3"/>
    <w:rsid w:val="00D41007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4EF3"/>
    <w:rsid w:val="00D7521A"/>
    <w:rsid w:val="00D756F3"/>
    <w:rsid w:val="00D75CE6"/>
    <w:rsid w:val="00D94067"/>
    <w:rsid w:val="00D9552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5037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34CFE"/>
    <w:rsid w:val="00E45223"/>
    <w:rsid w:val="00E46457"/>
    <w:rsid w:val="00E56942"/>
    <w:rsid w:val="00E57643"/>
    <w:rsid w:val="00E60CF1"/>
    <w:rsid w:val="00E613FF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0DA0"/>
    <w:rsid w:val="00EC18F5"/>
    <w:rsid w:val="00EC325D"/>
    <w:rsid w:val="00EC3BBE"/>
    <w:rsid w:val="00EC576B"/>
    <w:rsid w:val="00EC6BFD"/>
    <w:rsid w:val="00EE30BB"/>
    <w:rsid w:val="00EE34DA"/>
    <w:rsid w:val="00EF3F73"/>
    <w:rsid w:val="00F134DE"/>
    <w:rsid w:val="00F157AF"/>
    <w:rsid w:val="00F22FE6"/>
    <w:rsid w:val="00F27F70"/>
    <w:rsid w:val="00F339B2"/>
    <w:rsid w:val="00F344D3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B3B94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29" type="connector" idref="#_x0000_s1142"/>
        <o:r id="V:Rule130" type="connector" idref="#_x0000_s1061"/>
        <o:r id="V:Rule131" type="connector" idref="#_x0000_s1104"/>
        <o:r id="V:Rule132" type="connector" idref="#_x0000_s1070"/>
        <o:r id="V:Rule133" type="connector" idref="#_x0000_s1133"/>
        <o:r id="V:Rule134" type="connector" idref="#_x0000_s1155"/>
        <o:r id="V:Rule135" type="connector" idref="#_x0000_s1149"/>
        <o:r id="V:Rule136" type="connector" idref="#_x0000_s1146"/>
        <o:r id="V:Rule137" type="connector" idref="#_x0000_s1046"/>
        <o:r id="V:Rule138" type="connector" idref="#_x0000_s1054"/>
        <o:r id="V:Rule139" type="connector" idref="#_x0000_s1051"/>
        <o:r id="V:Rule140" type="connector" idref="#_x0000_s1118"/>
        <o:r id="V:Rule141" type="connector" idref="#_x0000_s1031"/>
        <o:r id="V:Rule142" type="connector" idref="#_x0000_s1042"/>
        <o:r id="V:Rule143" type="connector" idref="#_x0000_s1060"/>
        <o:r id="V:Rule144" type="connector" idref="#_x0000_s1124"/>
        <o:r id="V:Rule145" type="connector" idref="#_x0000_s1108"/>
        <o:r id="V:Rule146" type="connector" idref="#_x0000_s1111"/>
        <o:r id="V:Rule147" type="connector" idref="#_x0000_s1115"/>
        <o:r id="V:Rule148" type="connector" idref="#_x0000_s1083"/>
        <o:r id="V:Rule149" type="connector" idref="#_x0000_s1073"/>
        <o:r id="V:Rule150" type="connector" idref="#_x0000_s1026"/>
        <o:r id="V:Rule151" type="connector" idref="#_x0000_s1110"/>
        <o:r id="V:Rule152" type="connector" idref="#_x0000_s1144"/>
        <o:r id="V:Rule153" type="connector" idref="#_x0000_s1130"/>
        <o:r id="V:Rule154" type="connector" idref="#_x0000_s1107"/>
        <o:r id="V:Rule155" type="connector" idref="#_x0000_s1059"/>
        <o:r id="V:Rule156" type="connector" idref="#_x0000_s1057"/>
        <o:r id="V:Rule157" type="connector" idref="#_x0000_s1125"/>
        <o:r id="V:Rule158" type="connector" idref="#_x0000_s1086"/>
        <o:r id="V:Rule159" type="connector" idref="#_x0000_s1081"/>
        <o:r id="V:Rule160" type="connector" idref="#_x0000_s1132"/>
        <o:r id="V:Rule161" type="connector" idref="#_x0000_s1141"/>
        <o:r id="V:Rule162" type="connector" idref="#_x0000_s1123"/>
        <o:r id="V:Rule163" type="connector" idref="#_x0000_s1037"/>
        <o:r id="V:Rule164" type="connector" idref="#_x0000_s1069"/>
        <o:r id="V:Rule165" type="connector" idref="#_x0000_s1043"/>
        <o:r id="V:Rule166" type="connector" idref="#_x0000_s1068"/>
        <o:r id="V:Rule167" type="connector" idref="#_x0000_s1093"/>
        <o:r id="V:Rule168" type="connector" idref="#_x0000_s1082"/>
        <o:r id="V:Rule169" type="connector" idref="#_x0000_s1131"/>
        <o:r id="V:Rule170" type="connector" idref="#_x0000_s1097"/>
        <o:r id="V:Rule171" type="connector" idref="#_x0000_s1080"/>
        <o:r id="V:Rule172" type="connector" idref="#_x0000_s1033"/>
        <o:r id="V:Rule173" type="connector" idref="#_x0000_s1064"/>
        <o:r id="V:Rule174" type="connector" idref="#_x0000_s1102"/>
        <o:r id="V:Rule175" type="connector" idref="#_x0000_s1106"/>
        <o:r id="V:Rule176" type="connector" idref="#_x0000_s1109"/>
        <o:r id="V:Rule177" type="connector" idref="#_x0000_s1044"/>
        <o:r id="V:Rule178" type="connector" idref="#_x0000_s1098"/>
        <o:r id="V:Rule179" type="connector" idref="#_x0000_s1048"/>
        <o:r id="V:Rule180" type="connector" idref="#_x0000_s1127"/>
        <o:r id="V:Rule181" type="connector" idref="#_x0000_s1100"/>
        <o:r id="V:Rule182" type="connector" idref="#_x0000_s1137"/>
        <o:r id="V:Rule183" type="connector" idref="#_x0000_s1085"/>
        <o:r id="V:Rule184" type="connector" idref="#_x0000_s1121"/>
        <o:r id="V:Rule185" type="connector" idref="#_x0000_s1038"/>
        <o:r id="V:Rule186" type="connector" idref="#_x0000_s1056"/>
        <o:r id="V:Rule187" type="connector" idref="#_x0000_s1117"/>
        <o:r id="V:Rule188" type="connector" idref="#_x0000_s1153"/>
        <o:r id="V:Rule189" type="connector" idref="#_x0000_s1074"/>
        <o:r id="V:Rule190" type="connector" idref="#_x0000_s1134"/>
        <o:r id="V:Rule191" type="connector" idref="#_x0000_s1077"/>
        <o:r id="V:Rule192" type="connector" idref="#_x0000_s1140"/>
        <o:r id="V:Rule193" type="connector" idref="#_x0000_s1101"/>
        <o:r id="V:Rule194" type="connector" idref="#_x0000_s1045"/>
        <o:r id="V:Rule195" type="connector" idref="#_x0000_s1092"/>
        <o:r id="V:Rule196" type="connector" idref="#_x0000_s1128"/>
        <o:r id="V:Rule197" type="connector" idref="#_x0000_s1032"/>
        <o:r id="V:Rule198" type="connector" idref="#_x0000_s1041"/>
        <o:r id="V:Rule199" type="connector" idref="#_x0000_s1145"/>
        <o:r id="V:Rule200" type="connector" idref="#_x0000_s1065"/>
        <o:r id="V:Rule201" type="connector" idref="#_x0000_s1150"/>
        <o:r id="V:Rule202" type="connector" idref="#_x0000_s1055"/>
        <o:r id="V:Rule203" type="connector" idref="#_x0000_s1090"/>
        <o:r id="V:Rule204" type="connector" idref="#_x0000_s1094"/>
        <o:r id="V:Rule205" type="connector" idref="#_x0000_s1138"/>
        <o:r id="V:Rule206" type="connector" idref="#_x0000_s1087"/>
        <o:r id="V:Rule207" type="connector" idref="#_x0000_s1154"/>
        <o:r id="V:Rule208" type="connector" idref="#_x0000_s1122"/>
        <o:r id="V:Rule209" type="connector" idref="#_x0000_s1039"/>
        <o:r id="V:Rule210" type="connector" idref="#_x0000_s1152"/>
        <o:r id="V:Rule211" type="connector" idref="#_x0000_s1096"/>
        <o:r id="V:Rule212" type="connector" idref="#_x0000_s1066"/>
        <o:r id="V:Rule213" type="connector" idref="#_x0000_s1084"/>
        <o:r id="V:Rule214" type="connector" idref="#_x0000_s1129"/>
        <o:r id="V:Rule215" type="connector" idref="#_x0000_s1112"/>
        <o:r id="V:Rule216" type="connector" idref="#_x0000_s1119"/>
        <o:r id="V:Rule217" type="connector" idref="#_x0000_s1095"/>
        <o:r id="V:Rule218" type="connector" idref="#_x0000_s1088"/>
        <o:r id="V:Rule219" type="connector" idref="#_x0000_s1052"/>
        <o:r id="V:Rule220" type="connector" idref="#_x0000_s1089"/>
        <o:r id="V:Rule221" type="connector" idref="#_x0000_s1034"/>
        <o:r id="V:Rule222" type="connector" idref="#_x0000_s1063"/>
        <o:r id="V:Rule223" type="connector" idref="#_x0000_s1062"/>
        <o:r id="V:Rule224" type="connector" idref="#_x0000_s1030"/>
        <o:r id="V:Rule225" type="connector" idref="#_x0000_s1076"/>
        <o:r id="V:Rule226" type="connector" idref="#_x0000_s1116"/>
        <o:r id="V:Rule227" type="connector" idref="#_x0000_s1072"/>
        <o:r id="V:Rule228" type="connector" idref="#_x0000_s1136"/>
        <o:r id="V:Rule229" type="connector" idref="#_x0000_s1126"/>
        <o:r id="V:Rule230" type="connector" idref="#_x0000_s1067"/>
        <o:r id="V:Rule231" type="connector" idref="#_x0000_s1075"/>
        <o:r id="V:Rule232" type="connector" idref="#_x0000_s1047"/>
        <o:r id="V:Rule233" type="connector" idref="#_x0000_s1053"/>
        <o:r id="V:Rule234" type="connector" idref="#_x0000_s1135"/>
        <o:r id="V:Rule235" type="connector" idref="#_x0000_s1156"/>
        <o:r id="V:Rule236" type="connector" idref="#_x0000_s1148"/>
        <o:r id="V:Rule237" type="connector" idref="#_x0000_s1114"/>
        <o:r id="V:Rule238" type="connector" idref="#_x0000_s1120"/>
        <o:r id="V:Rule239" type="connector" idref="#_x0000_s1151"/>
        <o:r id="V:Rule240" type="connector" idref="#_x0000_s1103"/>
        <o:r id="V:Rule241" type="connector" idref="#_x0000_s1105"/>
        <o:r id="V:Rule242" type="connector" idref="#_x0000_s1091"/>
        <o:r id="V:Rule243" type="connector" idref="#_x0000_s1049"/>
        <o:r id="V:Rule244" type="connector" idref="#_x0000_s1099"/>
        <o:r id="V:Rule245" type="connector" idref="#_x0000_s1143"/>
        <o:r id="V:Rule246" type="connector" idref="#_x0000_s1079"/>
        <o:r id="V:Rule247" type="connector" idref="#_x0000_s1113"/>
        <o:r id="V:Rule248" type="connector" idref="#_x0000_s1147"/>
        <o:r id="V:Rule249" type="connector" idref="#_x0000_s1040"/>
        <o:r id="V:Rule250" type="connector" idref="#_x0000_s1027"/>
        <o:r id="V:Rule251" type="connector" idref="#_x0000_s1071"/>
        <o:r id="V:Rule252" type="connector" idref="#_x0000_s1029"/>
        <o:r id="V:Rule253" type="connector" idref="#_x0000_s1078"/>
        <o:r id="V:Rule254" type="connector" idref="#_x0000_s1139"/>
        <o:r id="V:Rule255" type="connector" idref="#_x0000_s1050"/>
        <o:r id="V:Rule256" type="connector" idref="#_x0000_s1058"/>
      </o:rules>
    </o:shapelayout>
  </w:shapeDefaults>
  <w:decimalSymbol w:val="."/>
  <w:listSeparator w:val=","/>
  <w14:docId w14:val="5FDA9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68A9-3773-401E-8003-DBD891E2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2013-10-30T17:44:00Z</dcterms:created>
  <dcterms:modified xsi:type="dcterms:W3CDTF">2014-01-24T18:25:00Z</dcterms:modified>
</cp:coreProperties>
</file>