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69767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B27A7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79426C" w:rsidRDefault="0077762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77762A">
        <w:rPr>
          <w:noProof/>
          <w:u w:val="single"/>
        </w:rPr>
        <w:drawing>
          <wp:inline distT="0" distB="0" distL="0" distR="0">
            <wp:extent cx="2914650" cy="2089767"/>
            <wp:effectExtent l="0" t="0" r="0" b="0"/>
            <wp:docPr id="37" name="Object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51750" cy="5486400"/>
                      <a:chOff x="0" y="152400"/>
                      <a:chExt cx="7651750" cy="548640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152400"/>
                        <a:ext cx="696595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2800" b="1" smtClean="0">
                              <a:latin typeface="Georgia" pitchFamily="18" charset="0"/>
                            </a:rPr>
                            <a:t>Branches of Government: Overview of the Three Branches</a:t>
                          </a:r>
                          <a:endParaRPr lang="en-CA" sz="2800" b="1" smtClean="0"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1752600"/>
                        <a:ext cx="7367588" cy="3886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3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en-US" sz="7200" b="1" dirty="0" smtClean="0">
                              <a:solidFill>
                                <a:schemeClr val="tx1"/>
                              </a:solidFill>
                              <a:latin typeface="Garamond" pitchFamily="18" charset="0"/>
                            </a:rPr>
                            <a:t>Legislative</a:t>
                          </a:r>
                        </a:p>
                        <a:p>
                          <a:pPr lvl="1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en-US" sz="7500" b="1" dirty="0" smtClean="0">
                              <a:solidFill>
                                <a:schemeClr val="tx1"/>
                              </a:solidFill>
                              <a:latin typeface="Garamond" pitchFamily="18" charset="0"/>
                            </a:rPr>
                            <a:t>Executive</a:t>
                          </a:r>
                        </a:p>
                        <a:p>
                          <a:pPr lvl="2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en-US" sz="7700" b="1" dirty="0" smtClean="0">
                              <a:solidFill>
                                <a:schemeClr val="tx1"/>
                              </a:solidFill>
                              <a:latin typeface="Garamond" pitchFamily="18" charset="0"/>
                            </a:rPr>
                            <a:t>Judicial</a:t>
                          </a:r>
                          <a:endParaRPr lang="en-CA" sz="7700" b="1" dirty="0" smtClean="0">
                            <a:solidFill>
                              <a:schemeClr val="tx1"/>
                            </a:solidFill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7762A" w:rsidRDefault="0077762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77762A">
        <w:rPr>
          <w:noProof/>
          <w:u w:val="single"/>
        </w:rPr>
        <w:drawing>
          <wp:inline distT="0" distB="0" distL="0" distR="0">
            <wp:extent cx="3352800" cy="2771775"/>
            <wp:effectExtent l="0" t="0" r="0" b="0"/>
            <wp:docPr id="38" name="Object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40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4600" u="sng" dirty="0" smtClean="0">
                              <a:latin typeface="Garamond" pitchFamily="18" charset="0"/>
                            </a:rPr>
                            <a:t>You Will Need to Know</a:t>
                          </a:r>
                          <a:r>
                            <a:rPr lang="en-US" sz="3400" u="sng" dirty="0" smtClean="0">
                              <a:latin typeface="Arial Black" pitchFamily="34" charset="0"/>
                            </a:rPr>
                            <a:t/>
                          </a:r>
                          <a:br>
                            <a:rPr lang="en-US" sz="3400" u="sng" dirty="0" smtClean="0">
                              <a:latin typeface="Arial Black" pitchFamily="34" charset="0"/>
                            </a:rPr>
                          </a:br>
                          <a:endParaRPr lang="en-CA" sz="3400" u="sng" dirty="0" smtClean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609600" indent="-609600">
                            <a:buFontTx/>
                            <a:buAutoNum type="arabicPeriod"/>
                          </a:pPr>
                          <a:r>
                            <a:rPr lang="en-US" sz="4000" smtClean="0">
                              <a:latin typeface="Garamond" pitchFamily="18" charset="0"/>
                            </a:rPr>
                            <a:t>The role of each branch</a:t>
                          </a:r>
                        </a:p>
                        <a:p>
                          <a:pPr marL="609600" indent="-609600">
                            <a:buFontTx/>
                            <a:buAutoNum type="arabicPeriod"/>
                          </a:pPr>
                          <a:r>
                            <a:rPr lang="en-US" sz="3600" smtClean="0">
                              <a:latin typeface="Garamond" pitchFamily="18" charset="0"/>
                            </a:rPr>
                            <a:t>The positions in each branch</a:t>
                          </a:r>
                        </a:p>
                        <a:p>
                          <a:pPr marL="609600" indent="-609600">
                            <a:buFontTx/>
                            <a:buAutoNum type="arabicPeriod"/>
                          </a:pPr>
                          <a:r>
                            <a:rPr lang="en-US" sz="4000" smtClean="0">
                              <a:latin typeface="Garamond" pitchFamily="18" charset="0"/>
                            </a:rPr>
                            <a:t>Who decides who will be in each position? And how they decide who will be in that position.</a:t>
                          </a:r>
                        </a:p>
                        <a:p>
                          <a:pPr marL="609600" indent="-609600">
                            <a:buFontTx/>
                            <a:buAutoNum type="arabicPeriod"/>
                          </a:pPr>
                          <a:r>
                            <a:rPr lang="en-US" sz="4000" smtClean="0">
                              <a:latin typeface="Garamond" pitchFamily="18" charset="0"/>
                            </a:rPr>
                            <a:t>The work of each branch</a:t>
                          </a:r>
                          <a:endParaRPr lang="en-CA" sz="4000" smtClean="0"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7762A" w:rsidRDefault="0077762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60CF1" w:rsidRDefault="00E60CF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93F2D" w:rsidRDefault="00E93F2D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9426C" w:rsidRDefault="0079426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E4108" w:rsidRDefault="001E410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Pr="00D673F5" w:rsidRDefault="00B27A7A" w:rsidP="00B27A7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B27A7A" w:rsidRDefault="0069767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B27A7A" w:rsidRPr="00D673F5">
        <w:rPr>
          <w:u w:val="single"/>
        </w:rPr>
        <w:t>________________</w:t>
      </w:r>
      <w:r w:rsidR="00B27A7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CE66DE" w:rsidRDefault="00CE66D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F946EC1">
            <wp:extent cx="3276600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55" cy="189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14650" cy="2085975"/>
            <wp:effectExtent l="0" t="0" r="0" b="0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97562"/>
                      <a:chOff x="457200" y="274638"/>
                      <a:chExt cx="8229600" cy="5897562"/>
                    </a:xfrm>
                  </a:grpSpPr>
                  <a:sp>
                    <a:nvSpPr>
                      <a:cNvPr id="51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546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mtClean="0">
                              <a:latin typeface="Garamond" pitchFamily="18" charset="0"/>
                            </a:rPr>
                            <a:t>Legislative Branch Continued</a:t>
                          </a:r>
                          <a:endParaRPr lang="en-CA" smtClean="0"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7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marL="609600" indent="-609600">
                            <a:buFont typeface="Wingdings" pitchFamily="2" charset="2"/>
                            <a:buNone/>
                          </a:pPr>
                          <a:r>
                            <a:rPr lang="en-US" sz="4000" smtClean="0">
                              <a:latin typeface="Garamond" pitchFamily="18" charset="0"/>
                            </a:rPr>
                            <a:t>3</a:t>
                          </a:r>
                          <a:r>
                            <a:rPr lang="en-US" smtClean="0">
                              <a:latin typeface="Garamond" pitchFamily="18" charset="0"/>
                            </a:rPr>
                            <a:t>. </a:t>
                          </a:r>
                          <a:r>
                            <a:rPr lang="en-US" sz="4000" smtClean="0">
                              <a:latin typeface="Garamond" pitchFamily="18" charset="0"/>
                            </a:rPr>
                            <a:t>Who selects and how?</a:t>
                          </a:r>
                        </a:p>
                        <a:p>
                          <a:pPr marL="990600" lvl="1" indent="-533400">
                            <a:buFontTx/>
                            <a:buAutoNum type="alphaUcPeriod"/>
                          </a:pPr>
                          <a:r>
                            <a:rPr lang="en-US" b="1" smtClean="0">
                              <a:latin typeface="Garamond" pitchFamily="18" charset="0"/>
                            </a:rPr>
                            <a:t>H of C:	People by voting</a:t>
                          </a:r>
                        </a:p>
                        <a:p>
                          <a:pPr marL="990600" lvl="1" indent="-533400">
                            <a:buFontTx/>
                            <a:buAutoNum type="alphaUcPeriod"/>
                          </a:pPr>
                          <a:r>
                            <a:rPr lang="en-US" b="1" smtClean="0">
                              <a:latin typeface="Garamond" pitchFamily="18" charset="0"/>
                            </a:rPr>
                            <a:t>Senate: 	PM by appointment</a:t>
                          </a:r>
                        </a:p>
                        <a:p>
                          <a:pPr marL="990600" lvl="1" indent="-533400">
                            <a:buFontTx/>
                            <a:buAutoNum type="alphaUcPeriod"/>
                          </a:pPr>
                          <a:r>
                            <a:rPr lang="en-US" b="1" smtClean="0">
                              <a:latin typeface="Garamond" pitchFamily="18" charset="0"/>
                            </a:rPr>
                            <a:t>GG 		PM and appointment by the 			Queen</a:t>
                          </a:r>
                          <a:endParaRPr lang="en-CA" b="1" smtClean="0"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14650" cy="2076450"/>
            <wp:effectExtent l="0" t="0" r="0" b="0"/>
            <wp:docPr id="7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614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mtClean="0">
                              <a:latin typeface="Garamond" pitchFamily="18" charset="0"/>
                            </a:rPr>
                            <a:t>Legislative Branch (Cont’d)</a:t>
                          </a:r>
                          <a:endParaRPr lang="en-CA" smtClean="0"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4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>
                            <a:buFont typeface="Wingdings" pitchFamily="2" charset="2"/>
                            <a:buNone/>
                          </a:pPr>
                          <a:r>
                            <a:rPr lang="en-US" smtClean="0">
                              <a:latin typeface="Garamond" pitchFamily="18" charset="0"/>
                            </a:rPr>
                            <a:t>4. </a:t>
                          </a:r>
                          <a:r>
                            <a:rPr lang="en-US" sz="4000" smtClean="0">
                              <a:latin typeface="Garamond" pitchFamily="18" charset="0"/>
                            </a:rPr>
                            <a:t>The work of this branch</a:t>
                          </a:r>
                        </a:p>
                        <a:p>
                          <a:r>
                            <a:rPr lang="en-US" sz="2800" b="1" smtClean="0">
                              <a:latin typeface="Garamond" pitchFamily="18" charset="0"/>
                            </a:rPr>
                            <a:t>To pass laws (from bills)</a:t>
                          </a:r>
                        </a:p>
                        <a:p>
                          <a:r>
                            <a:rPr lang="en-US" sz="2800" b="1" smtClean="0">
                              <a:latin typeface="Garamond" pitchFamily="18" charset="0"/>
                            </a:rPr>
                            <a:t>This involves the H of C and Senate Committees</a:t>
                          </a:r>
                        </a:p>
                        <a:p>
                          <a:r>
                            <a:rPr lang="en-US" sz="2800" b="1" smtClean="0">
                              <a:latin typeface="Garamond" pitchFamily="18" charset="0"/>
                            </a:rPr>
                            <a:t>Origins of Bills: Cabinet</a:t>
                          </a:r>
                        </a:p>
                        <a:p>
                          <a:pPr>
                            <a:buFont typeface="Wingdings" pitchFamily="2" charset="2"/>
                            <a:buNone/>
                          </a:pPr>
                          <a:r>
                            <a:rPr lang="en-US" sz="2800" b="1" smtClean="0">
                              <a:latin typeface="Garamond" pitchFamily="18" charset="0"/>
                            </a:rPr>
                            <a:t>				  Private Members Bill</a:t>
                          </a:r>
                        </a:p>
                        <a:p>
                          <a:r>
                            <a:rPr lang="en-US" sz="2800" b="1" smtClean="0">
                              <a:latin typeface="Garamond" pitchFamily="18" charset="0"/>
                            </a:rPr>
                            <a:t>GG provides Royal Assent</a:t>
                          </a:r>
                        </a:p>
                        <a:p>
                          <a:pPr>
                            <a:buFont typeface="Wingdings" pitchFamily="2" charset="2"/>
                            <a:buNone/>
                          </a:pPr>
                          <a:endParaRPr lang="en-CA" sz="2800" b="1" smtClean="0"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Pr="00D673F5" w:rsidRDefault="00B27A7A" w:rsidP="00B27A7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B27A7A" w:rsidRDefault="0069767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B27A7A" w:rsidRPr="00D673F5">
        <w:rPr>
          <w:u w:val="single"/>
        </w:rPr>
        <w:t>________________</w:t>
      </w:r>
      <w:r w:rsidR="00B27A7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B27A7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9767E" w:rsidRDefault="0069767E" w:rsidP="00B27A7A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F0E99B3" wp14:editId="0E2B2579">
            <wp:extent cx="3400425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7"/>
                    <a:stretch/>
                  </pic:blipFill>
                  <pic:spPr bwMode="auto">
                    <a:xfrm>
                      <a:off x="0" y="0"/>
                      <a:ext cx="3400897" cy="17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6DE" w:rsidRDefault="0069767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F6C1AB9" wp14:editId="014A0C3E">
            <wp:extent cx="3657600" cy="2060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719" cy="2059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A7A" w:rsidRDefault="0069767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B46778E" wp14:editId="09658112">
            <wp:extent cx="3590925" cy="192490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54" cy="193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AF4" w:rsidRDefault="00BA5AF4" w:rsidP="00CE66D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E66DE" w:rsidRDefault="00CE66DE" w:rsidP="00B27A7A">
      <w:pPr>
        <w:rPr>
          <w:u w:val="single"/>
        </w:rPr>
      </w:pPr>
    </w:p>
    <w:p w:rsidR="00293FDB" w:rsidRDefault="00293FDB" w:rsidP="00B27A7A">
      <w:pPr>
        <w:rPr>
          <w:u w:val="single"/>
        </w:rPr>
      </w:pPr>
    </w:p>
    <w:p w:rsidR="00B27A7A" w:rsidRPr="00D673F5" w:rsidRDefault="00B27A7A" w:rsidP="00B27A7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B27A7A" w:rsidRDefault="0069767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B27A7A" w:rsidRPr="00D673F5">
        <w:rPr>
          <w:u w:val="single"/>
        </w:rPr>
        <w:t>________________</w:t>
      </w:r>
      <w:r w:rsidR="00B27A7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B27A7A" w:rsidRDefault="00CE66D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6DC05E8">
            <wp:extent cx="3486150" cy="26147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34" cy="2615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A7A" w:rsidRDefault="00293FDB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1058C81">
            <wp:extent cx="3486150" cy="274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35" cy="2743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CE6" w:rsidRDefault="003F5CE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F5CE6" w:rsidRDefault="003F5CE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11A6C" w:rsidRDefault="00311A6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9127A" w:rsidRDefault="0029127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Pr="00D673F5" w:rsidRDefault="00B27A7A" w:rsidP="00B27A7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B27A7A" w:rsidRDefault="0069767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B27A7A" w:rsidRPr="00D673F5">
        <w:rPr>
          <w:u w:val="single"/>
        </w:rPr>
        <w:t>________________</w:t>
      </w:r>
      <w:r w:rsidR="00B27A7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B27A7A" w:rsidRDefault="00293FDB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B44B6E1">
            <wp:extent cx="3524250" cy="25812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39" cy="2581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8A1" w:rsidRDefault="00293FDB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B0EEB80">
            <wp:extent cx="3648075" cy="2819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45" cy="2821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05742" w:rsidRDefault="0020574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928D0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928D0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Pr="00D673F5" w:rsidRDefault="00B27A7A" w:rsidP="00B27A7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B27A7A" w:rsidRDefault="0069767E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B27A7A" w:rsidRPr="00D673F5">
        <w:rPr>
          <w:u w:val="single"/>
        </w:rPr>
        <w:t>________________</w:t>
      </w:r>
      <w:r w:rsidR="00B27A7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4A48A1" w:rsidRDefault="004A48A1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724275" cy="2371725"/>
            <wp:effectExtent l="0" t="0" r="0" b="0"/>
            <wp:docPr id="24" name="Objec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433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mtClean="0">
                              <a:latin typeface="Garamond" pitchFamily="18" charset="0"/>
                            </a:rPr>
                            <a:t>Judicial Branch Cont’d</a:t>
                          </a:r>
                          <a:endParaRPr lang="en-CA" smtClean="0"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33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en-US" smtClean="0">
                              <a:latin typeface="Garamond" pitchFamily="18" charset="0"/>
                            </a:rPr>
                            <a:t>3. Who selects and how:</a:t>
                          </a:r>
                        </a:p>
                        <a:p>
                          <a:pPr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en-US" smtClean="0">
                              <a:latin typeface="Garamond" pitchFamily="18" charset="0"/>
                            </a:rPr>
                            <a:t>A. Superior Court Judges: </a:t>
                          </a:r>
                        </a:p>
                        <a:p>
                          <a:pPr lvl="1"/>
                          <a:r>
                            <a:rPr lang="en-US" b="1" smtClean="0">
                              <a:latin typeface="Garamond" pitchFamily="18" charset="0"/>
                            </a:rPr>
                            <a:t>Appointed by PM</a:t>
                          </a:r>
                        </a:p>
                        <a:p>
                          <a:r>
                            <a:rPr lang="en-US" smtClean="0">
                              <a:latin typeface="Garamond" pitchFamily="18" charset="0"/>
                            </a:rPr>
                            <a:t>B. Provincial Court Judges:</a:t>
                          </a:r>
                        </a:p>
                        <a:p>
                          <a:pPr lvl="1"/>
                          <a:r>
                            <a:rPr lang="en-US" b="1" smtClean="0">
                              <a:latin typeface="Garamond" pitchFamily="18" charset="0"/>
                            </a:rPr>
                            <a:t>Appointed by provincial Government</a:t>
                          </a:r>
                        </a:p>
                        <a:p>
                          <a:pPr lvl="1">
                            <a:buFont typeface="Wingdings" pitchFamily="2" charset="2"/>
                            <a:buNone/>
                          </a:pPr>
                          <a:endParaRPr lang="en-CA" smtClean="0"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7A7A" w:rsidRDefault="00293FDB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2344F7B">
            <wp:extent cx="3629025" cy="27218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29" cy="2722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A7A" w:rsidRDefault="00B27A7A" w:rsidP="00B27A7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E3B06" w:rsidRDefault="004E3B0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D0EAA" w:rsidRPr="00D673F5" w:rsidRDefault="00AD0EAA" w:rsidP="00293FDB">
      <w:pPr>
        <w:tabs>
          <w:tab w:val="left" w:pos="3870"/>
        </w:tabs>
        <w:spacing w:line="480" w:lineRule="auto"/>
        <w:ind w:right="540"/>
        <w:rPr>
          <w:u w:val="single"/>
        </w:rPr>
      </w:pPr>
    </w:p>
    <w:sectPr w:rsidR="00AD0EAA" w:rsidRPr="00D673F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68C1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1976"/>
    <w:rsid w:val="001F1A57"/>
    <w:rsid w:val="001F5866"/>
    <w:rsid w:val="00205742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3FDB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48A1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5158DD"/>
    <w:rsid w:val="00521FF7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860CD"/>
    <w:rsid w:val="006912A9"/>
    <w:rsid w:val="006939D6"/>
    <w:rsid w:val="006947B1"/>
    <w:rsid w:val="006949B9"/>
    <w:rsid w:val="0069684F"/>
    <w:rsid w:val="0069767E"/>
    <w:rsid w:val="006A5CD2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7762A"/>
    <w:rsid w:val="007811C1"/>
    <w:rsid w:val="00786261"/>
    <w:rsid w:val="00787A50"/>
    <w:rsid w:val="0079426C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131F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27A7A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7BC6"/>
    <w:rsid w:val="00B821EE"/>
    <w:rsid w:val="00B931FE"/>
    <w:rsid w:val="00BA434F"/>
    <w:rsid w:val="00BA4951"/>
    <w:rsid w:val="00BA5AF4"/>
    <w:rsid w:val="00BA6856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E66DE"/>
    <w:rsid w:val="00CF11E5"/>
    <w:rsid w:val="00CF237C"/>
    <w:rsid w:val="00CF33F3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0CF1"/>
    <w:rsid w:val="00E613FF"/>
    <w:rsid w:val="00E712B1"/>
    <w:rsid w:val="00E7330B"/>
    <w:rsid w:val="00E74B39"/>
    <w:rsid w:val="00E852FE"/>
    <w:rsid w:val="00E91A92"/>
    <w:rsid w:val="00E924A1"/>
    <w:rsid w:val="00E93F2D"/>
    <w:rsid w:val="00E95E54"/>
    <w:rsid w:val="00EA408C"/>
    <w:rsid w:val="00EA42D3"/>
    <w:rsid w:val="00EB462B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277F"/>
    <w:rsid w:val="00F27F70"/>
    <w:rsid w:val="00F339B2"/>
    <w:rsid w:val="00F344D3"/>
    <w:rsid w:val="00F359DE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97" type="connector" idref="#_x0000_s1072"/>
        <o:r id="V:Rule98" type="connector" idref="#_x0000_s1099"/>
        <o:r id="V:Rule99" type="connector" idref="#_x0000_s1081"/>
        <o:r id="V:Rule100" type="connector" idref="#_x0000_s1064"/>
        <o:r id="V:Rule101" type="connector" idref="#_x0000_s1102"/>
        <o:r id="V:Rule102" type="connector" idref="#_x0000_s1034"/>
        <o:r id="V:Rule103" type="connector" idref="#_x0000_s1115"/>
        <o:r id="V:Rule104" type="connector" idref="#_x0000_s1044"/>
        <o:r id="V:Rule105" type="connector" idref="#_x0000_s1059"/>
        <o:r id="V:Rule106" type="connector" idref="#_x0000_s1088"/>
        <o:r id="V:Rule107" type="connector" idref="#_x0000_s1079"/>
        <o:r id="V:Rule108" type="connector" idref="#_x0000_s1040"/>
        <o:r id="V:Rule109" type="connector" idref="#_x0000_s1051"/>
        <o:r id="V:Rule110" type="connector" idref="#_x0000_s1037"/>
        <o:r id="V:Rule111" type="connector" idref="#_x0000_s1069"/>
        <o:r id="V:Rule112" type="connector" idref="#_x0000_s1052"/>
        <o:r id="V:Rule113" type="connector" idref="#_x0000_s1063"/>
        <o:r id="V:Rule114" type="connector" idref="#_x0000_s1104"/>
        <o:r id="V:Rule115" type="connector" idref="#_x0000_s1027"/>
        <o:r id="V:Rule116" type="connector" idref="#_x0000_s1050"/>
        <o:r id="V:Rule117" type="connector" idref="#_x0000_s1026"/>
        <o:r id="V:Rule118" type="connector" idref="#_x0000_s1101"/>
        <o:r id="V:Rule119" type="connector" idref="#_x0000_s1090"/>
        <o:r id="V:Rule120" type="connector" idref="#_x0000_s1091"/>
        <o:r id="V:Rule121" type="connector" idref="#_x0000_s1118"/>
        <o:r id="V:Rule122" type="connector" idref="#_x0000_s1094"/>
        <o:r id="V:Rule123" type="connector" idref="#_x0000_s1074"/>
        <o:r id="V:Rule124" type="connector" idref="#_x0000_s1031"/>
        <o:r id="V:Rule125" type="connector" idref="#_x0000_s1100"/>
        <o:r id="V:Rule126" type="connector" idref="#_x0000_s1089"/>
        <o:r id="V:Rule127" type="connector" idref="#_x0000_s1047"/>
        <o:r id="V:Rule128" type="connector" idref="#_x0000_s1073"/>
        <o:r id="V:Rule129" type="connector" idref="#_x0000_s1083"/>
        <o:r id="V:Rule130" type="connector" idref="#_x0000_s1043"/>
        <o:r id="V:Rule131" type="connector" idref="#_x0000_s1060"/>
        <o:r id="V:Rule132" type="connector" idref="#_x0000_s1095"/>
        <o:r id="V:Rule133" type="connector" idref="#_x0000_s1111"/>
        <o:r id="V:Rule134" type="connector" idref="#_x0000_s1109"/>
        <o:r id="V:Rule135" type="connector" idref="#_x0000_s1046"/>
        <o:r id="V:Rule136" type="connector" idref="#_x0000_s1103"/>
        <o:r id="V:Rule137" type="connector" idref="#_x0000_s1097"/>
        <o:r id="V:Rule138" type="connector" idref="#_x0000_s1065"/>
        <o:r id="V:Rule139" type="connector" idref="#_x0000_s1085"/>
        <o:r id="V:Rule140" type="connector" idref="#_x0000_s1114"/>
        <o:r id="V:Rule141" type="connector" idref="#_x0000_s1119"/>
        <o:r id="V:Rule142" type="connector" idref="#_x0000_s1086"/>
        <o:r id="V:Rule143" type="connector" idref="#_x0000_s1071"/>
        <o:r id="V:Rule144" type="connector" idref="#_x0000_s1080"/>
        <o:r id="V:Rule145" type="connector" idref="#_x0000_s1117"/>
        <o:r id="V:Rule146" type="connector" idref="#_x0000_s1122"/>
        <o:r id="V:Rule147" type="connector" idref="#_x0000_s1110"/>
        <o:r id="V:Rule148" type="connector" idref="#_x0000_s1058"/>
        <o:r id="V:Rule149" type="connector" idref="#_x0000_s1121"/>
        <o:r id="V:Rule150" type="connector" idref="#_x0000_s1070"/>
        <o:r id="V:Rule151" type="connector" idref="#_x0000_s1075"/>
        <o:r id="V:Rule152" type="connector" idref="#_x0000_s1067"/>
        <o:r id="V:Rule153" type="connector" idref="#_x0000_s1030"/>
        <o:r id="V:Rule154" type="connector" idref="#_x0000_s1096"/>
        <o:r id="V:Rule155" type="connector" idref="#_x0000_s1045"/>
        <o:r id="V:Rule156" type="connector" idref="#_x0000_s1039"/>
        <o:r id="V:Rule157" type="connector" idref="#_x0000_s1066"/>
        <o:r id="V:Rule158" type="connector" idref="#_x0000_s1084"/>
        <o:r id="V:Rule159" type="connector" idref="#_x0000_s1048"/>
        <o:r id="V:Rule160" type="connector" idref="#_x0000_s1041"/>
        <o:r id="V:Rule161" type="connector" idref="#_x0000_s1105"/>
        <o:r id="V:Rule162" type="connector" idref="#_x0000_s1076"/>
        <o:r id="V:Rule163" type="connector" idref="#_x0000_s1032"/>
        <o:r id="V:Rule164" type="connector" idref="#_x0000_s1029"/>
        <o:r id="V:Rule165" type="connector" idref="#_x0000_s1033"/>
        <o:r id="V:Rule166" type="connector" idref="#_x0000_s1053"/>
        <o:r id="V:Rule167" type="connector" idref="#_x0000_s1116"/>
        <o:r id="V:Rule168" type="connector" idref="#_x0000_s1068"/>
        <o:r id="V:Rule169" type="connector" idref="#_x0000_s1092"/>
        <o:r id="V:Rule170" type="connector" idref="#_x0000_s1049"/>
        <o:r id="V:Rule171" type="connector" idref="#_x0000_s1054"/>
        <o:r id="V:Rule172" type="connector" idref="#_x0000_s1057"/>
        <o:r id="V:Rule173" type="connector" idref="#_x0000_s1093"/>
        <o:r id="V:Rule174" type="connector" idref="#_x0000_s1077"/>
        <o:r id="V:Rule175" type="connector" idref="#_x0000_s1082"/>
        <o:r id="V:Rule176" type="connector" idref="#_x0000_s1107"/>
        <o:r id="V:Rule177" type="connector" idref="#_x0000_s1106"/>
        <o:r id="V:Rule178" type="connector" idref="#_x0000_s1078"/>
        <o:r id="V:Rule179" type="connector" idref="#_x0000_s1123"/>
        <o:r id="V:Rule180" type="connector" idref="#_x0000_s1042"/>
        <o:r id="V:Rule181" type="connector" idref="#_x0000_s1113"/>
        <o:r id="V:Rule182" type="connector" idref="#_x0000_s1062"/>
        <o:r id="V:Rule183" type="connector" idref="#_x0000_s1098"/>
        <o:r id="V:Rule184" type="connector" idref="#_x0000_s1087"/>
        <o:r id="V:Rule185" type="connector" idref="#_x0000_s1038"/>
        <o:r id="V:Rule186" type="connector" idref="#_x0000_s1124"/>
        <o:r id="V:Rule187" type="connector" idref="#_x0000_s1112"/>
        <o:r id="V:Rule188" type="connector" idref="#_x0000_s1056"/>
        <o:r id="V:Rule189" type="connector" idref="#_x0000_s1055"/>
        <o:r id="V:Rule190" type="connector" idref="#_x0000_s1108"/>
        <o:r id="V:Rule191" type="connector" idref="#_x0000_s1061"/>
        <o:r id="V:Rule192" type="connector" idref="#_x0000_s11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34D9-FFD3-42C6-93A6-9EE3F256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2013-10-30T17:26:00Z</dcterms:created>
  <dcterms:modified xsi:type="dcterms:W3CDTF">2014-02-14T20:23:00Z</dcterms:modified>
</cp:coreProperties>
</file>